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-601" w:type="dxa"/>
        <w:tblLook w:val="04A0" w:firstRow="1" w:lastRow="0" w:firstColumn="1" w:lastColumn="0" w:noHBand="0" w:noVBand="1"/>
      </w:tblPr>
      <w:tblGrid>
        <w:gridCol w:w="2743"/>
        <w:gridCol w:w="3802"/>
        <w:gridCol w:w="1677"/>
        <w:gridCol w:w="2212"/>
      </w:tblGrid>
      <w:tr w:rsidR="00890415" w:rsidRPr="00845B60" w14:paraId="510DD4FD" w14:textId="3CE67110" w:rsidTr="00845B60">
        <w:tc>
          <w:tcPr>
            <w:tcW w:w="2743" w:type="dxa"/>
            <w:hideMark/>
          </w:tcPr>
          <w:p w14:paraId="66FE67E6" w14:textId="72AD9CAF" w:rsidR="00890415" w:rsidRPr="00845B60" w:rsidRDefault="00890415" w:rsidP="002B7A46">
            <w:pPr>
              <w:jc w:val="center"/>
              <w:rPr>
                <w:rFonts w:eastAsia="Times New Roman" w:cstheme="minorHAnsi"/>
                <w:b/>
                <w:bCs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Test Parameters</w:t>
            </w:r>
          </w:p>
        </w:tc>
        <w:tc>
          <w:tcPr>
            <w:tcW w:w="3802" w:type="dxa"/>
            <w:hideMark/>
          </w:tcPr>
          <w:p w14:paraId="48E4C370" w14:textId="5B5019E7" w:rsidR="00890415" w:rsidRPr="00845B60" w:rsidRDefault="00890415" w:rsidP="00AA03CE">
            <w:pPr>
              <w:jc w:val="center"/>
              <w:rPr>
                <w:rFonts w:eastAsia="Times New Roman" w:cstheme="minorHAnsi"/>
                <w:b/>
                <w:bCs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Specifications</w:t>
            </w:r>
          </w:p>
        </w:tc>
        <w:tc>
          <w:tcPr>
            <w:tcW w:w="1677" w:type="dxa"/>
            <w:hideMark/>
          </w:tcPr>
          <w:p w14:paraId="2F1844A2" w14:textId="0F93A062" w:rsidR="00890415" w:rsidRPr="00845B60" w:rsidRDefault="00890415" w:rsidP="002B7A46">
            <w:pPr>
              <w:jc w:val="center"/>
              <w:rPr>
                <w:rFonts w:eastAsia="Times New Roman" w:cstheme="minorHAnsi"/>
                <w:b/>
                <w:bCs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Reference</w:t>
            </w:r>
          </w:p>
        </w:tc>
        <w:tc>
          <w:tcPr>
            <w:tcW w:w="2212" w:type="dxa"/>
          </w:tcPr>
          <w:p w14:paraId="6F8C56B1" w14:textId="00AB8EFE" w:rsidR="00890415" w:rsidRPr="00845B60" w:rsidRDefault="00890415" w:rsidP="002B7A46">
            <w:pPr>
              <w:jc w:val="center"/>
              <w:rPr>
                <w:rFonts w:eastAsia="Times New Roman" w:cstheme="minorHAnsi"/>
                <w:b/>
                <w:bCs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Test Results</w:t>
            </w:r>
          </w:p>
        </w:tc>
      </w:tr>
      <w:tr w:rsidR="00890415" w:rsidRPr="00845B60" w14:paraId="4B449E4C" w14:textId="75E6BA03" w:rsidTr="00845B60">
        <w:tc>
          <w:tcPr>
            <w:tcW w:w="2743" w:type="dxa"/>
            <w:hideMark/>
          </w:tcPr>
          <w:p w14:paraId="1AB0DB75" w14:textId="77777777" w:rsidR="00890415" w:rsidRPr="00845B60" w:rsidRDefault="00890415" w:rsidP="002B7A46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Description</w:t>
            </w:r>
          </w:p>
        </w:tc>
        <w:tc>
          <w:tcPr>
            <w:tcW w:w="3802" w:type="dxa"/>
            <w:hideMark/>
          </w:tcPr>
          <w:p w14:paraId="0DDFE06A" w14:textId="25D87051" w:rsidR="00890415" w:rsidRPr="00845B60" w:rsidRDefault="00890415" w:rsidP="002B7A46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sz w:val="20"/>
                <w:lang w:eastAsia="en-IN"/>
              </w:rPr>
              <w:t>Clear, colourless, syrupy viscous liquid; odourless; sweet taste</w:t>
            </w:r>
          </w:p>
        </w:tc>
        <w:tc>
          <w:tcPr>
            <w:tcW w:w="1677" w:type="dxa"/>
            <w:hideMark/>
          </w:tcPr>
          <w:p w14:paraId="3242E47F" w14:textId="7C66A0A4" w:rsidR="00890415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B</w:t>
            </w:r>
            <w:r w:rsidR="00890415" w:rsidRPr="00845B60">
              <w:rPr>
                <w:rFonts w:eastAsia="Times New Roman" w:cstheme="minorHAnsi"/>
                <w:sz w:val="20"/>
                <w:lang w:eastAsia="en-IN"/>
              </w:rPr>
              <w:t>P</w:t>
            </w:r>
            <w:r>
              <w:rPr>
                <w:rFonts w:eastAsia="Times New Roman" w:cstheme="minorHAnsi"/>
                <w:sz w:val="20"/>
                <w:lang w:eastAsia="en-IN"/>
              </w:rPr>
              <w:t>-</w:t>
            </w:r>
            <w:r w:rsidR="00890415" w:rsidRPr="00845B60">
              <w:rPr>
                <w:rFonts w:eastAsia="Times New Roman" w:cstheme="minorHAnsi"/>
                <w:sz w:val="20"/>
                <w:lang w:eastAsia="en-IN"/>
              </w:rPr>
              <w:t>202</w:t>
            </w:r>
            <w:r>
              <w:rPr>
                <w:rFonts w:eastAsia="Times New Roman" w:cstheme="minorHAnsi"/>
                <w:sz w:val="20"/>
                <w:lang w:eastAsia="en-IN"/>
              </w:rPr>
              <w:t>4</w:t>
            </w:r>
          </w:p>
        </w:tc>
        <w:tc>
          <w:tcPr>
            <w:tcW w:w="2212" w:type="dxa"/>
          </w:tcPr>
          <w:p w14:paraId="2F7AECB8" w14:textId="7A03BD16" w:rsidR="00890415" w:rsidRPr="00845B60" w:rsidRDefault="00E555A2" w:rsidP="00EF1B8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E555A2">
              <w:rPr>
                <w:rFonts w:eastAsia="Times New Roman" w:cstheme="minorHAnsi"/>
                <w:sz w:val="20"/>
                <w:lang w:eastAsia="en-IN"/>
              </w:rPr>
              <w:t xml:space="preserve">Clear, colourless, syrupy viscous liquid; odourless; </w:t>
            </w:r>
            <w:r>
              <w:rPr>
                <w:rFonts w:eastAsia="Times New Roman" w:cstheme="minorHAnsi"/>
                <w:sz w:val="20"/>
                <w:lang w:eastAsia="en-IN"/>
              </w:rPr>
              <w:t xml:space="preserve"> </w:t>
            </w:r>
            <w:r w:rsidRPr="00E555A2">
              <w:rPr>
                <w:rFonts w:eastAsia="Times New Roman" w:cstheme="minorHAnsi"/>
                <w:sz w:val="20"/>
                <w:lang w:eastAsia="en-IN"/>
              </w:rPr>
              <w:t>sweet taste</w:t>
            </w:r>
          </w:p>
        </w:tc>
      </w:tr>
      <w:tr w:rsidR="004A7FEF" w:rsidRPr="00845B60" w14:paraId="2EA8BCDA" w14:textId="19D80A6A" w:rsidTr="00845B60">
        <w:tc>
          <w:tcPr>
            <w:tcW w:w="2743" w:type="dxa"/>
            <w:hideMark/>
          </w:tcPr>
          <w:p w14:paraId="2279B25C" w14:textId="23CBD7EF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Identification (IR)</w:t>
            </w:r>
          </w:p>
        </w:tc>
        <w:tc>
          <w:tcPr>
            <w:tcW w:w="3802" w:type="dxa"/>
            <w:hideMark/>
          </w:tcPr>
          <w:p w14:paraId="31BC4AB7" w14:textId="6E0C0AC9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sz w:val="20"/>
                <w:lang w:eastAsia="en-IN"/>
              </w:rPr>
              <w:t>IR spectrum matches reference standard or Chemical Reaction Test.</w:t>
            </w:r>
          </w:p>
        </w:tc>
        <w:tc>
          <w:tcPr>
            <w:tcW w:w="1677" w:type="dxa"/>
            <w:hideMark/>
          </w:tcPr>
          <w:p w14:paraId="4D4D6F04" w14:textId="082DA52C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1014477F" w14:textId="5005F852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Complies</w:t>
            </w:r>
          </w:p>
        </w:tc>
      </w:tr>
      <w:tr w:rsidR="004A7FEF" w:rsidRPr="00845B60" w14:paraId="102EA1FB" w14:textId="75079572" w:rsidTr="00845B60">
        <w:tc>
          <w:tcPr>
            <w:tcW w:w="2743" w:type="dxa"/>
            <w:hideMark/>
          </w:tcPr>
          <w:p w14:paraId="1A61CD37" w14:textId="77777777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Solubility</w:t>
            </w:r>
          </w:p>
        </w:tc>
        <w:tc>
          <w:tcPr>
            <w:tcW w:w="3802" w:type="dxa"/>
            <w:hideMark/>
          </w:tcPr>
          <w:p w14:paraId="350A7E8A" w14:textId="77777777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sz w:val="20"/>
                <w:lang w:eastAsia="en-IN"/>
              </w:rPr>
              <w:t>Miscible with water and with alcohol</w:t>
            </w:r>
          </w:p>
        </w:tc>
        <w:tc>
          <w:tcPr>
            <w:tcW w:w="1677" w:type="dxa"/>
            <w:hideMark/>
          </w:tcPr>
          <w:p w14:paraId="30DFAE4E" w14:textId="5A264A8C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3EFD2D1A" w14:textId="5CAE61B4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E555A2">
              <w:rPr>
                <w:rFonts w:eastAsia="Times New Roman" w:cstheme="minorHAnsi"/>
                <w:sz w:val="20"/>
                <w:lang w:eastAsia="en-IN"/>
              </w:rPr>
              <w:t>Miscible with water and with alcohol</w:t>
            </w:r>
          </w:p>
        </w:tc>
      </w:tr>
      <w:tr w:rsidR="004A7FEF" w:rsidRPr="00845B60" w14:paraId="2E3EDE65" w14:textId="11B80D7F" w:rsidTr="00845B60">
        <w:tc>
          <w:tcPr>
            <w:tcW w:w="2743" w:type="dxa"/>
            <w:hideMark/>
          </w:tcPr>
          <w:p w14:paraId="6808E423" w14:textId="77777777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Acidity or Alkalinity</w:t>
            </w:r>
          </w:p>
        </w:tc>
        <w:tc>
          <w:tcPr>
            <w:tcW w:w="3802" w:type="dxa"/>
            <w:hideMark/>
          </w:tcPr>
          <w:p w14:paraId="3824F745" w14:textId="5476EA5F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sz w:val="20"/>
                <w:lang w:eastAsia="en-IN"/>
              </w:rPr>
              <w:t>Passes test (0.1N NaOH or HCl with phenolphthalein)</w:t>
            </w:r>
          </w:p>
        </w:tc>
        <w:tc>
          <w:tcPr>
            <w:tcW w:w="1677" w:type="dxa"/>
            <w:hideMark/>
          </w:tcPr>
          <w:p w14:paraId="405F975F" w14:textId="0A06B43B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5CEA8CD0" w14:textId="75EA2FCA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0.10 ml of 0.1N</w:t>
            </w:r>
            <w:r w:rsidRPr="00E555A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sodium hydroxide consumed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</w:tc>
      </w:tr>
      <w:tr w:rsidR="004A7FEF" w:rsidRPr="00845B60" w14:paraId="3A983D00" w14:textId="2D28F2F0" w:rsidTr="00845B60">
        <w:tc>
          <w:tcPr>
            <w:tcW w:w="2743" w:type="dxa"/>
            <w:hideMark/>
          </w:tcPr>
          <w:p w14:paraId="3CE69C16" w14:textId="77777777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Refractive Index (20°C)</w:t>
            </w:r>
          </w:p>
        </w:tc>
        <w:tc>
          <w:tcPr>
            <w:tcW w:w="3802" w:type="dxa"/>
            <w:hideMark/>
          </w:tcPr>
          <w:p w14:paraId="75FED832" w14:textId="4C4A306E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sz w:val="20"/>
                <w:lang w:eastAsia="en-IN"/>
              </w:rPr>
              <w:t>1.470 – 1.477</w:t>
            </w:r>
          </w:p>
        </w:tc>
        <w:tc>
          <w:tcPr>
            <w:tcW w:w="1677" w:type="dxa"/>
            <w:hideMark/>
          </w:tcPr>
          <w:p w14:paraId="3EFE3DDE" w14:textId="3E3CE6F8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16FC9FD5" w14:textId="065F4BEB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1.470</w:t>
            </w:r>
          </w:p>
        </w:tc>
      </w:tr>
      <w:tr w:rsidR="004A7FEF" w:rsidRPr="00845B60" w14:paraId="12ABCE09" w14:textId="748C5C28" w:rsidTr="00845B60">
        <w:tc>
          <w:tcPr>
            <w:tcW w:w="2743" w:type="dxa"/>
            <w:hideMark/>
          </w:tcPr>
          <w:p w14:paraId="7D68EA2F" w14:textId="6ED95CD9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Specific Gravity (2</w:t>
            </w:r>
            <w:r w:rsidR="006B6F3A">
              <w:rPr>
                <w:rFonts w:eastAsia="Times New Roman" w:cstheme="minorHAnsi"/>
                <w:b/>
                <w:bCs/>
                <w:sz w:val="20"/>
                <w:lang w:eastAsia="en-IN"/>
              </w:rPr>
              <w:t>0</w:t>
            </w: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°C)</w:t>
            </w:r>
          </w:p>
        </w:tc>
        <w:tc>
          <w:tcPr>
            <w:tcW w:w="3802" w:type="dxa"/>
            <w:hideMark/>
          </w:tcPr>
          <w:p w14:paraId="3CED0E53" w14:textId="77777777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sz w:val="20"/>
                <w:lang w:eastAsia="en-IN"/>
              </w:rPr>
              <w:t>1.249 – 1.258</w:t>
            </w:r>
          </w:p>
        </w:tc>
        <w:tc>
          <w:tcPr>
            <w:tcW w:w="1677" w:type="dxa"/>
            <w:hideMark/>
          </w:tcPr>
          <w:p w14:paraId="1B25C2B8" w14:textId="41758006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47B86A0F" w14:textId="0D0D834F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1.261</w:t>
            </w:r>
          </w:p>
        </w:tc>
      </w:tr>
      <w:tr w:rsidR="004A7FEF" w:rsidRPr="00845B60" w14:paraId="70F5C28E" w14:textId="08C9A149" w:rsidTr="00845B60">
        <w:tc>
          <w:tcPr>
            <w:tcW w:w="2743" w:type="dxa"/>
            <w:hideMark/>
          </w:tcPr>
          <w:p w14:paraId="640BEF4B" w14:textId="77777777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Chloride (Cl⁻)</w:t>
            </w:r>
          </w:p>
        </w:tc>
        <w:tc>
          <w:tcPr>
            <w:tcW w:w="3802" w:type="dxa"/>
            <w:hideMark/>
          </w:tcPr>
          <w:p w14:paraId="38E80566" w14:textId="13384D11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sz w:val="20"/>
                <w:lang w:eastAsia="en-IN"/>
              </w:rPr>
              <w:t>≤ 10 ppm</w:t>
            </w:r>
          </w:p>
        </w:tc>
        <w:tc>
          <w:tcPr>
            <w:tcW w:w="1677" w:type="dxa"/>
            <w:hideMark/>
          </w:tcPr>
          <w:p w14:paraId="54BCFAFE" w14:textId="53BD4E67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3A3D2D36" w14:textId="74A6473E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Complies</w:t>
            </w:r>
          </w:p>
        </w:tc>
      </w:tr>
      <w:tr w:rsidR="004A7FEF" w:rsidRPr="00845B60" w14:paraId="3C207752" w14:textId="7AEA29A1" w:rsidTr="00845B60">
        <w:tc>
          <w:tcPr>
            <w:tcW w:w="2743" w:type="dxa"/>
            <w:hideMark/>
          </w:tcPr>
          <w:p w14:paraId="5DE9A63F" w14:textId="6C0CE7D0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b/>
                <w:bCs/>
                <w:sz w:val="20"/>
                <w:lang w:eastAsia="en-IN"/>
              </w:rPr>
              <w:t>Aldehydes</w:t>
            </w:r>
          </w:p>
        </w:tc>
        <w:tc>
          <w:tcPr>
            <w:tcW w:w="3802" w:type="dxa"/>
            <w:hideMark/>
          </w:tcPr>
          <w:p w14:paraId="679B9D25" w14:textId="474C6566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B913FB">
              <w:rPr>
                <w:rFonts w:eastAsia="Times New Roman" w:cstheme="minorHAnsi"/>
                <w:sz w:val="20"/>
                <w:lang w:eastAsia="en-IN"/>
              </w:rPr>
              <w:t>The absorbance of sample is not more than the standard solution</w:t>
            </w:r>
          </w:p>
        </w:tc>
        <w:tc>
          <w:tcPr>
            <w:tcW w:w="1677" w:type="dxa"/>
            <w:hideMark/>
          </w:tcPr>
          <w:p w14:paraId="476D0332" w14:textId="2075B8A9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044BF908" w14:textId="1E889D81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Complies</w:t>
            </w:r>
          </w:p>
        </w:tc>
      </w:tr>
      <w:tr w:rsidR="004A7FEF" w:rsidRPr="00845B60" w14:paraId="4B6B0C74" w14:textId="75F96119" w:rsidTr="00845B60">
        <w:tc>
          <w:tcPr>
            <w:tcW w:w="2743" w:type="dxa"/>
            <w:hideMark/>
          </w:tcPr>
          <w:p w14:paraId="002691F5" w14:textId="481DF865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Esters</w:t>
            </w:r>
          </w:p>
        </w:tc>
        <w:tc>
          <w:tcPr>
            <w:tcW w:w="3802" w:type="dxa"/>
            <w:hideMark/>
          </w:tcPr>
          <w:p w14:paraId="62BA0F9C" w14:textId="77777777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sz w:val="20"/>
                <w:lang w:eastAsia="en-IN"/>
              </w:rPr>
              <w:t>No turbidity on ethanol test</w:t>
            </w:r>
          </w:p>
        </w:tc>
        <w:tc>
          <w:tcPr>
            <w:tcW w:w="1677" w:type="dxa"/>
            <w:hideMark/>
          </w:tcPr>
          <w:p w14:paraId="6C63CAE1" w14:textId="5F39ECCE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7B0EFCCE" w14:textId="490CAD63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Complies</w:t>
            </w:r>
          </w:p>
        </w:tc>
      </w:tr>
      <w:tr w:rsidR="004A7FEF" w:rsidRPr="00845B60" w14:paraId="526087F6" w14:textId="09056D71" w:rsidTr="00845B60">
        <w:tc>
          <w:tcPr>
            <w:tcW w:w="2743" w:type="dxa"/>
            <w:hideMark/>
          </w:tcPr>
          <w:p w14:paraId="64C99B93" w14:textId="77777777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Sugars / Reducing Substances</w:t>
            </w:r>
          </w:p>
        </w:tc>
        <w:tc>
          <w:tcPr>
            <w:tcW w:w="3802" w:type="dxa"/>
            <w:hideMark/>
          </w:tcPr>
          <w:p w14:paraId="256243A6" w14:textId="5DB84E5E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sz w:val="20"/>
                <w:lang w:eastAsia="en-IN"/>
              </w:rPr>
              <w:t>No red colour with Fehling’s solution (passes as no reducing sugars)</w:t>
            </w:r>
          </w:p>
        </w:tc>
        <w:tc>
          <w:tcPr>
            <w:tcW w:w="1677" w:type="dxa"/>
            <w:hideMark/>
          </w:tcPr>
          <w:p w14:paraId="4817C154" w14:textId="4C3E8AA1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30442C3E" w14:textId="14821198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Complies</w:t>
            </w:r>
          </w:p>
        </w:tc>
      </w:tr>
      <w:tr w:rsidR="004A7FEF" w:rsidRPr="00845B60" w14:paraId="008BBB04" w14:textId="42621619" w:rsidTr="00845B60">
        <w:tc>
          <w:tcPr>
            <w:tcW w:w="2743" w:type="dxa"/>
            <w:hideMark/>
          </w:tcPr>
          <w:p w14:paraId="5C4CB70A" w14:textId="77777777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Water Content</w:t>
            </w:r>
          </w:p>
        </w:tc>
        <w:tc>
          <w:tcPr>
            <w:tcW w:w="3802" w:type="dxa"/>
            <w:hideMark/>
          </w:tcPr>
          <w:p w14:paraId="0616F033" w14:textId="754A6BFB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sz w:val="20"/>
                <w:lang w:eastAsia="en-IN"/>
              </w:rPr>
              <w:t>≤ 0.5 % (w/w)</w:t>
            </w:r>
          </w:p>
        </w:tc>
        <w:tc>
          <w:tcPr>
            <w:tcW w:w="1677" w:type="dxa"/>
            <w:hideMark/>
          </w:tcPr>
          <w:p w14:paraId="5AA4D4FC" w14:textId="16591CA1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47F6932D" w14:textId="4BFD21F6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0.091</w:t>
            </w:r>
          </w:p>
        </w:tc>
      </w:tr>
      <w:tr w:rsidR="004A7FEF" w:rsidRPr="00845B60" w14:paraId="110456AC" w14:textId="5978F3DF" w:rsidTr="00845B60">
        <w:tc>
          <w:tcPr>
            <w:tcW w:w="2743" w:type="dxa"/>
            <w:hideMark/>
          </w:tcPr>
          <w:p w14:paraId="0B923869" w14:textId="11410336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b/>
                <w:bCs/>
                <w:sz w:val="20"/>
                <w:lang w:eastAsia="en-IN"/>
              </w:rPr>
              <w:t>Halogenated Compounds</w:t>
            </w:r>
          </w:p>
        </w:tc>
        <w:tc>
          <w:tcPr>
            <w:tcW w:w="3802" w:type="dxa"/>
            <w:hideMark/>
          </w:tcPr>
          <w:p w14:paraId="038AD137" w14:textId="1100A81B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B913FB">
              <w:rPr>
                <w:rFonts w:eastAsia="Times New Roman" w:cstheme="minorHAnsi"/>
                <w:sz w:val="20"/>
                <w:lang w:eastAsia="en-IN"/>
              </w:rPr>
              <w:t>Any opalescence in the solution is not more intense than the standard solution.</w:t>
            </w:r>
          </w:p>
        </w:tc>
        <w:tc>
          <w:tcPr>
            <w:tcW w:w="1677" w:type="dxa"/>
            <w:hideMark/>
          </w:tcPr>
          <w:p w14:paraId="1544F1FE" w14:textId="73AC13AB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103099A4" w14:textId="2E2F1080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Complies</w:t>
            </w:r>
          </w:p>
        </w:tc>
      </w:tr>
      <w:tr w:rsidR="004A7FEF" w:rsidRPr="00845B60" w14:paraId="46023733" w14:textId="3382E413" w:rsidTr="00845B60">
        <w:tc>
          <w:tcPr>
            <w:tcW w:w="2743" w:type="dxa"/>
            <w:hideMark/>
          </w:tcPr>
          <w:p w14:paraId="6E7DBD34" w14:textId="77777777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b/>
                <w:bCs/>
                <w:sz w:val="20"/>
                <w:lang w:eastAsia="en-IN"/>
              </w:rPr>
              <w:t>Assay (C₃H₈O₃ Content)</w:t>
            </w:r>
          </w:p>
        </w:tc>
        <w:tc>
          <w:tcPr>
            <w:tcW w:w="3802" w:type="dxa"/>
            <w:hideMark/>
          </w:tcPr>
          <w:p w14:paraId="68D060FC" w14:textId="77777777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 w:rsidRPr="00845B60">
              <w:rPr>
                <w:rFonts w:eastAsia="Times New Roman" w:cstheme="minorHAnsi"/>
                <w:sz w:val="20"/>
                <w:lang w:eastAsia="en-IN"/>
              </w:rPr>
              <w:t>98.0% to 101.0% (w/w) on an anhydrous basis</w:t>
            </w:r>
          </w:p>
        </w:tc>
        <w:tc>
          <w:tcPr>
            <w:tcW w:w="1677" w:type="dxa"/>
            <w:hideMark/>
          </w:tcPr>
          <w:p w14:paraId="43B65C5D" w14:textId="2B7B7664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3F7468EC" w14:textId="1E283264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99.5</w:t>
            </w:r>
          </w:p>
        </w:tc>
      </w:tr>
      <w:tr w:rsidR="004A7FEF" w:rsidRPr="00845B60" w14:paraId="4270081D" w14:textId="6FE9EC2A" w:rsidTr="00845B60">
        <w:tc>
          <w:tcPr>
            <w:tcW w:w="2743" w:type="dxa"/>
            <w:hideMark/>
          </w:tcPr>
          <w:p w14:paraId="5E0C6A14" w14:textId="658C9EFC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b/>
                <w:bCs/>
                <w:sz w:val="20"/>
                <w:lang w:eastAsia="en-IN"/>
              </w:rPr>
              <w:t>Sulphated Ash (%)</w:t>
            </w:r>
          </w:p>
        </w:tc>
        <w:tc>
          <w:tcPr>
            <w:tcW w:w="3802" w:type="dxa"/>
            <w:hideMark/>
          </w:tcPr>
          <w:p w14:paraId="1D4E7735" w14:textId="5F886605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≤ 0.01 on 5.0 g</w:t>
            </w:r>
          </w:p>
        </w:tc>
        <w:tc>
          <w:tcPr>
            <w:tcW w:w="1677" w:type="dxa"/>
            <w:hideMark/>
          </w:tcPr>
          <w:p w14:paraId="4FEC972A" w14:textId="3A79AA21" w:rsidR="004A7FEF" w:rsidRPr="00845B60" w:rsidRDefault="004A7FEF" w:rsidP="004A7FEF">
            <w:pPr>
              <w:jc w:val="center"/>
              <w:rPr>
                <w:rFonts w:eastAsia="Times New Roman" w:cstheme="minorHAnsi"/>
                <w:sz w:val="20"/>
                <w:lang w:eastAsia="en-IN"/>
              </w:rPr>
            </w:pPr>
            <w:r w:rsidRPr="005F68EF">
              <w:rPr>
                <w:rFonts w:eastAsia="Times New Roman" w:cstheme="minorHAnsi"/>
                <w:sz w:val="20"/>
                <w:lang w:eastAsia="en-IN"/>
              </w:rPr>
              <w:t>BP-2024</w:t>
            </w:r>
          </w:p>
        </w:tc>
        <w:tc>
          <w:tcPr>
            <w:tcW w:w="2212" w:type="dxa"/>
          </w:tcPr>
          <w:p w14:paraId="7C15FD91" w14:textId="4FAF96FC" w:rsidR="004A7FEF" w:rsidRPr="00845B60" w:rsidRDefault="004A7FEF" w:rsidP="004A7FEF">
            <w:pPr>
              <w:rPr>
                <w:rFonts w:eastAsia="Times New Roman" w:cstheme="minorHAnsi"/>
                <w:sz w:val="20"/>
                <w:lang w:eastAsia="en-IN"/>
              </w:rPr>
            </w:pPr>
            <w:r>
              <w:rPr>
                <w:rFonts w:eastAsia="Times New Roman" w:cstheme="minorHAnsi"/>
                <w:sz w:val="20"/>
                <w:lang w:eastAsia="en-IN"/>
              </w:rPr>
              <w:t>0.004</w:t>
            </w:r>
          </w:p>
        </w:tc>
      </w:tr>
    </w:tbl>
    <w:p w14:paraId="50887CE7" w14:textId="77777777" w:rsidR="00AA05D3" w:rsidRPr="00845B60" w:rsidRDefault="008B2100" w:rsidP="00D628BA">
      <w:pPr>
        <w:tabs>
          <w:tab w:val="num" w:pos="720"/>
          <w:tab w:val="num" w:pos="1440"/>
        </w:tabs>
        <w:rPr>
          <w:sz w:val="18"/>
          <w:szCs w:val="18"/>
        </w:rPr>
      </w:pPr>
      <w:r w:rsidRPr="00845B60">
        <w:rPr>
          <w:b/>
          <w:bCs/>
          <w:sz w:val="18"/>
          <w:szCs w:val="18"/>
          <w:u w:val="single"/>
        </w:rPr>
        <w:t>Storage Conditions:</w:t>
      </w:r>
      <w:r w:rsidRPr="00845B60">
        <w:rPr>
          <w:sz w:val="18"/>
          <w:szCs w:val="18"/>
        </w:rPr>
        <w:t xml:space="preserve"> </w:t>
      </w:r>
    </w:p>
    <w:p w14:paraId="568D0C3D" w14:textId="77777777" w:rsidR="00AA05D3" w:rsidRPr="00845B60" w:rsidRDefault="008B2100" w:rsidP="00D628BA">
      <w:pPr>
        <w:pStyle w:val="ListParagraph"/>
        <w:numPr>
          <w:ilvl w:val="0"/>
          <w:numId w:val="6"/>
        </w:numPr>
        <w:rPr>
          <w:sz w:val="18"/>
          <w:szCs w:val="18"/>
        </w:rPr>
      </w:pPr>
      <w:r w:rsidRPr="00845B60">
        <w:rPr>
          <w:sz w:val="18"/>
          <w:szCs w:val="18"/>
        </w:rPr>
        <w:t>Recommended temperature for storage: Below 40°C (preferably between 15°C and 30°C). Avoid ex</w:t>
      </w:r>
      <w:r w:rsidR="00AA05D3" w:rsidRPr="00845B60">
        <w:rPr>
          <w:sz w:val="18"/>
          <w:szCs w:val="18"/>
        </w:rPr>
        <w:t>treme temperature fluctuations.</w:t>
      </w:r>
    </w:p>
    <w:p w14:paraId="33951DE0" w14:textId="77777777" w:rsidR="00377B5E" w:rsidRPr="00845B60" w:rsidRDefault="008B2100" w:rsidP="00D628BA">
      <w:pPr>
        <w:pStyle w:val="ListParagraph"/>
        <w:numPr>
          <w:ilvl w:val="0"/>
          <w:numId w:val="6"/>
        </w:numPr>
        <w:rPr>
          <w:sz w:val="18"/>
          <w:szCs w:val="18"/>
        </w:rPr>
      </w:pPr>
      <w:r w:rsidRPr="00845B60">
        <w:rPr>
          <w:sz w:val="18"/>
          <w:szCs w:val="18"/>
        </w:rPr>
        <w:t>Protection from Light &amp; Contaminants: Store in a well-ventilated, dry place, away from direct sunlight. Prevent contamination with water, dust and/or other chemicals.</w:t>
      </w:r>
      <w:r w:rsidR="00377B5E" w:rsidRPr="00845B60">
        <w:rPr>
          <w:sz w:val="20"/>
        </w:rPr>
        <w:t xml:space="preserve"> </w:t>
      </w:r>
    </w:p>
    <w:p w14:paraId="04FAB8E9" w14:textId="1D01AC3A" w:rsidR="00AA05D3" w:rsidRPr="00845B60" w:rsidRDefault="007F69F9" w:rsidP="00D628BA">
      <w:pPr>
        <w:pStyle w:val="ListParagraph"/>
        <w:numPr>
          <w:ilvl w:val="0"/>
          <w:numId w:val="6"/>
        </w:numPr>
        <w:rPr>
          <w:sz w:val="18"/>
          <w:szCs w:val="18"/>
        </w:rPr>
      </w:pPr>
      <w:r w:rsidRPr="00845B60">
        <w:rPr>
          <w:sz w:val="18"/>
          <w:szCs w:val="18"/>
        </w:rPr>
        <w:t xml:space="preserve">Glycerine IP has a </w:t>
      </w:r>
      <w:r w:rsidR="00377B5E" w:rsidRPr="00845B60">
        <w:rPr>
          <w:sz w:val="18"/>
          <w:szCs w:val="18"/>
        </w:rPr>
        <w:t xml:space="preserve">shelf life of </w:t>
      </w:r>
      <w:r w:rsidRPr="00845B60">
        <w:rPr>
          <w:b/>
          <w:bCs/>
          <w:sz w:val="18"/>
          <w:szCs w:val="18"/>
        </w:rPr>
        <w:t>over 24</w:t>
      </w:r>
      <w:r w:rsidR="00377B5E" w:rsidRPr="00845B60">
        <w:rPr>
          <w:b/>
          <w:bCs/>
          <w:sz w:val="18"/>
          <w:szCs w:val="18"/>
        </w:rPr>
        <w:t xml:space="preserve"> months</w:t>
      </w:r>
      <w:r w:rsidR="00377B5E" w:rsidRPr="00845B60">
        <w:rPr>
          <w:sz w:val="18"/>
          <w:szCs w:val="18"/>
        </w:rPr>
        <w:t xml:space="preserve">, but it may be </w:t>
      </w:r>
      <w:r w:rsidR="00377B5E" w:rsidRPr="00845B60">
        <w:rPr>
          <w:b/>
          <w:bCs/>
          <w:sz w:val="18"/>
          <w:szCs w:val="18"/>
        </w:rPr>
        <w:t>re-tested and extended</w:t>
      </w:r>
      <w:r w:rsidR="00377B5E" w:rsidRPr="00845B60">
        <w:rPr>
          <w:sz w:val="18"/>
          <w:szCs w:val="18"/>
        </w:rPr>
        <w:t xml:space="preserve"> based on quality review and stability data. It should be stored in a </w:t>
      </w:r>
      <w:r w:rsidR="00377B5E" w:rsidRPr="00845B60">
        <w:rPr>
          <w:b/>
          <w:bCs/>
          <w:sz w:val="18"/>
          <w:szCs w:val="18"/>
        </w:rPr>
        <w:t>tightly closed, light-resistant container</w:t>
      </w:r>
      <w:r w:rsidR="00377B5E" w:rsidRPr="00845B60">
        <w:rPr>
          <w:sz w:val="18"/>
          <w:szCs w:val="18"/>
        </w:rPr>
        <w:t xml:space="preserve">, under </w:t>
      </w:r>
      <w:r w:rsidR="00377B5E" w:rsidRPr="00845B60">
        <w:rPr>
          <w:b/>
          <w:bCs/>
          <w:sz w:val="18"/>
          <w:szCs w:val="18"/>
        </w:rPr>
        <w:t>dry conditions</w:t>
      </w:r>
      <w:r w:rsidR="00377B5E" w:rsidRPr="00845B60">
        <w:rPr>
          <w:sz w:val="18"/>
          <w:szCs w:val="18"/>
        </w:rPr>
        <w:t xml:space="preserve">, following </w:t>
      </w:r>
      <w:r w:rsidR="00377B5E" w:rsidRPr="00845B60">
        <w:rPr>
          <w:b/>
          <w:bCs/>
          <w:sz w:val="18"/>
          <w:szCs w:val="18"/>
        </w:rPr>
        <w:t xml:space="preserve">GMP </w:t>
      </w:r>
      <w:r w:rsidR="00377B5E" w:rsidRPr="00845B60">
        <w:rPr>
          <w:sz w:val="18"/>
          <w:szCs w:val="18"/>
        </w:rPr>
        <w:t>guidelines.</w:t>
      </w:r>
    </w:p>
    <w:sectPr w:rsidR="00AA05D3" w:rsidRPr="00845B60" w:rsidSect="005B402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A8CF8F" w14:textId="77777777" w:rsidR="00786A3E" w:rsidRDefault="00786A3E" w:rsidP="004C07EA">
      <w:pPr>
        <w:spacing w:after="0" w:line="240" w:lineRule="auto"/>
      </w:pPr>
      <w:r>
        <w:separator/>
      </w:r>
    </w:p>
  </w:endnote>
  <w:endnote w:type="continuationSeparator" w:id="0">
    <w:p w14:paraId="1AAB705B" w14:textId="77777777" w:rsidR="00786A3E" w:rsidRDefault="00786A3E" w:rsidP="004C0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FA77ED" w14:textId="77777777" w:rsidR="00D22B5D" w:rsidRDefault="00D22B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FBBE07" w14:textId="7231C939" w:rsidR="009D1A9D" w:rsidRDefault="009D1A9D">
    <w:pPr>
      <w:pStyle w:val="Footer"/>
    </w:pPr>
  </w:p>
  <w:tbl>
    <w:tblPr>
      <w:tblW w:w="10348" w:type="dxa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810"/>
      <w:gridCol w:w="2963"/>
      <w:gridCol w:w="2968"/>
      <w:gridCol w:w="2607"/>
    </w:tblGrid>
    <w:tr w:rsidR="009D1A9D" w:rsidRPr="009D1A9D" w14:paraId="41129C77" w14:textId="77777777" w:rsidTr="003D0A74">
      <w:trPr>
        <w:trHeight w:val="68"/>
      </w:trPr>
      <w:tc>
        <w:tcPr>
          <w:tcW w:w="1810" w:type="dxa"/>
          <w:shd w:val="clear" w:color="auto" w:fill="F2F2F2"/>
          <w:vAlign w:val="bottom"/>
        </w:tcPr>
        <w:p w14:paraId="26B604A9" w14:textId="77777777" w:rsidR="009D1A9D" w:rsidRPr="009D1A9D" w:rsidRDefault="009D1A9D" w:rsidP="009D1A9D">
          <w:pPr>
            <w:pStyle w:val="Footer"/>
            <w:rPr>
              <w:lang w:val="en-US"/>
            </w:rPr>
          </w:pPr>
        </w:p>
      </w:tc>
      <w:tc>
        <w:tcPr>
          <w:tcW w:w="2963" w:type="dxa"/>
          <w:shd w:val="clear" w:color="auto" w:fill="F2F2F2"/>
          <w:vAlign w:val="bottom"/>
        </w:tcPr>
        <w:p w14:paraId="2FDD9373" w14:textId="77777777" w:rsidR="009D1A9D" w:rsidRPr="009D1A9D" w:rsidRDefault="009D1A9D" w:rsidP="009D1A9D">
          <w:pPr>
            <w:pStyle w:val="Footer"/>
            <w:rPr>
              <w:b/>
              <w:lang w:val="en-US"/>
            </w:rPr>
          </w:pPr>
          <w:r w:rsidRPr="009D1A9D">
            <w:rPr>
              <w:b/>
              <w:lang w:val="en-US"/>
            </w:rPr>
            <w:t>Prepared By</w:t>
          </w:r>
        </w:p>
      </w:tc>
      <w:tc>
        <w:tcPr>
          <w:tcW w:w="2968" w:type="dxa"/>
          <w:shd w:val="clear" w:color="auto" w:fill="F2F2F2"/>
          <w:vAlign w:val="bottom"/>
        </w:tcPr>
        <w:p w14:paraId="626E6443" w14:textId="77777777" w:rsidR="009D1A9D" w:rsidRPr="009D1A9D" w:rsidRDefault="009D1A9D" w:rsidP="009D1A9D">
          <w:pPr>
            <w:pStyle w:val="Footer"/>
            <w:rPr>
              <w:b/>
              <w:lang w:val="en-US"/>
            </w:rPr>
          </w:pPr>
          <w:r w:rsidRPr="009D1A9D">
            <w:rPr>
              <w:b/>
              <w:lang w:val="en-US"/>
            </w:rPr>
            <w:t>Checked By</w:t>
          </w:r>
        </w:p>
      </w:tc>
      <w:tc>
        <w:tcPr>
          <w:tcW w:w="2607" w:type="dxa"/>
          <w:shd w:val="clear" w:color="auto" w:fill="F2F2F2"/>
          <w:vAlign w:val="bottom"/>
        </w:tcPr>
        <w:p w14:paraId="4009551A" w14:textId="77777777" w:rsidR="009D1A9D" w:rsidRPr="009D1A9D" w:rsidRDefault="009D1A9D" w:rsidP="009D1A9D">
          <w:pPr>
            <w:pStyle w:val="Footer"/>
            <w:rPr>
              <w:b/>
              <w:lang w:val="en-US"/>
            </w:rPr>
          </w:pPr>
          <w:r w:rsidRPr="009D1A9D">
            <w:rPr>
              <w:b/>
              <w:lang w:val="en-US"/>
            </w:rPr>
            <w:t>Approved By</w:t>
          </w:r>
        </w:p>
      </w:tc>
    </w:tr>
    <w:tr w:rsidR="009D1A9D" w:rsidRPr="009D1A9D" w14:paraId="5B0118A7" w14:textId="77777777" w:rsidTr="003D0A74">
      <w:trPr>
        <w:trHeight w:val="402"/>
      </w:trPr>
      <w:tc>
        <w:tcPr>
          <w:tcW w:w="1810" w:type="dxa"/>
          <w:shd w:val="clear" w:color="auto" w:fill="F2F2F2"/>
          <w:vAlign w:val="bottom"/>
        </w:tcPr>
        <w:p w14:paraId="020948CB" w14:textId="77777777" w:rsidR="009D1A9D" w:rsidRPr="009D1A9D" w:rsidRDefault="009D1A9D" w:rsidP="009D1A9D">
          <w:pPr>
            <w:pStyle w:val="Footer"/>
            <w:rPr>
              <w:b/>
              <w:lang w:val="en-US"/>
            </w:rPr>
          </w:pPr>
          <w:r w:rsidRPr="009D1A9D">
            <w:rPr>
              <w:b/>
              <w:lang w:val="en-US"/>
            </w:rPr>
            <w:t>Signature</w:t>
          </w:r>
        </w:p>
      </w:tc>
      <w:tc>
        <w:tcPr>
          <w:tcW w:w="2963" w:type="dxa"/>
          <w:vAlign w:val="bottom"/>
        </w:tcPr>
        <w:p w14:paraId="393A32C4" w14:textId="77777777" w:rsidR="009D1A9D" w:rsidRPr="009D1A9D" w:rsidRDefault="009D1A9D" w:rsidP="009D1A9D">
          <w:pPr>
            <w:pStyle w:val="Footer"/>
            <w:rPr>
              <w:lang w:val="en-US"/>
            </w:rPr>
          </w:pPr>
        </w:p>
      </w:tc>
      <w:tc>
        <w:tcPr>
          <w:tcW w:w="2968" w:type="dxa"/>
          <w:vAlign w:val="bottom"/>
        </w:tcPr>
        <w:p w14:paraId="08BA6AB1" w14:textId="77777777" w:rsidR="009D1A9D" w:rsidRPr="009D1A9D" w:rsidRDefault="009D1A9D" w:rsidP="009D1A9D">
          <w:pPr>
            <w:pStyle w:val="Footer"/>
            <w:rPr>
              <w:lang w:val="en-US"/>
            </w:rPr>
          </w:pPr>
        </w:p>
      </w:tc>
      <w:tc>
        <w:tcPr>
          <w:tcW w:w="2607" w:type="dxa"/>
          <w:vAlign w:val="bottom"/>
        </w:tcPr>
        <w:p w14:paraId="729BB87A" w14:textId="77777777" w:rsidR="009D1A9D" w:rsidRPr="009D1A9D" w:rsidRDefault="009D1A9D" w:rsidP="009D1A9D">
          <w:pPr>
            <w:pStyle w:val="Footer"/>
            <w:rPr>
              <w:lang w:val="en-US"/>
            </w:rPr>
          </w:pPr>
        </w:p>
      </w:tc>
    </w:tr>
    <w:tr w:rsidR="009D1A9D" w:rsidRPr="009D1A9D" w14:paraId="6DADB69E" w14:textId="77777777" w:rsidTr="003D0A74">
      <w:trPr>
        <w:trHeight w:val="205"/>
      </w:trPr>
      <w:tc>
        <w:tcPr>
          <w:tcW w:w="1810" w:type="dxa"/>
          <w:shd w:val="clear" w:color="auto" w:fill="F2F2F2"/>
          <w:vAlign w:val="bottom"/>
        </w:tcPr>
        <w:p w14:paraId="541BB414" w14:textId="77777777" w:rsidR="009D1A9D" w:rsidRPr="009D1A9D" w:rsidRDefault="009D1A9D" w:rsidP="009D1A9D">
          <w:pPr>
            <w:pStyle w:val="Footer"/>
            <w:rPr>
              <w:b/>
              <w:lang w:val="en-US"/>
            </w:rPr>
          </w:pPr>
          <w:r w:rsidRPr="009D1A9D">
            <w:rPr>
              <w:b/>
              <w:lang w:val="en-US"/>
            </w:rPr>
            <w:t>Date</w:t>
          </w:r>
        </w:p>
      </w:tc>
      <w:tc>
        <w:tcPr>
          <w:tcW w:w="2963" w:type="dxa"/>
          <w:vAlign w:val="bottom"/>
        </w:tcPr>
        <w:p w14:paraId="45D8554E" w14:textId="77777777" w:rsidR="009D1A9D" w:rsidRPr="009D1A9D" w:rsidRDefault="009D1A9D" w:rsidP="009D1A9D">
          <w:pPr>
            <w:pStyle w:val="Footer"/>
            <w:rPr>
              <w:lang w:val="en-US"/>
            </w:rPr>
          </w:pPr>
        </w:p>
      </w:tc>
      <w:tc>
        <w:tcPr>
          <w:tcW w:w="2968" w:type="dxa"/>
          <w:vAlign w:val="bottom"/>
        </w:tcPr>
        <w:p w14:paraId="174D7CB6" w14:textId="77777777" w:rsidR="009D1A9D" w:rsidRPr="009D1A9D" w:rsidRDefault="009D1A9D" w:rsidP="009D1A9D">
          <w:pPr>
            <w:pStyle w:val="Footer"/>
            <w:rPr>
              <w:lang w:val="en-US"/>
            </w:rPr>
          </w:pPr>
        </w:p>
      </w:tc>
      <w:tc>
        <w:tcPr>
          <w:tcW w:w="2607" w:type="dxa"/>
          <w:vAlign w:val="bottom"/>
        </w:tcPr>
        <w:p w14:paraId="12B610C3" w14:textId="77777777" w:rsidR="009D1A9D" w:rsidRPr="009D1A9D" w:rsidRDefault="009D1A9D" w:rsidP="009D1A9D">
          <w:pPr>
            <w:pStyle w:val="Footer"/>
            <w:rPr>
              <w:lang w:val="en-US"/>
            </w:rPr>
          </w:pPr>
        </w:p>
      </w:tc>
    </w:tr>
    <w:tr w:rsidR="009D1A9D" w:rsidRPr="009D1A9D" w14:paraId="15C98B83" w14:textId="77777777" w:rsidTr="003D0A74">
      <w:trPr>
        <w:trHeight w:val="205"/>
      </w:trPr>
      <w:tc>
        <w:tcPr>
          <w:tcW w:w="1810" w:type="dxa"/>
          <w:shd w:val="clear" w:color="auto" w:fill="F2F2F2"/>
          <w:vAlign w:val="bottom"/>
        </w:tcPr>
        <w:p w14:paraId="3C43CAED" w14:textId="77777777" w:rsidR="009D1A9D" w:rsidRPr="009D1A9D" w:rsidRDefault="009D1A9D" w:rsidP="009D1A9D">
          <w:pPr>
            <w:pStyle w:val="Footer"/>
            <w:rPr>
              <w:b/>
              <w:lang w:val="en-US"/>
            </w:rPr>
          </w:pPr>
          <w:r w:rsidRPr="009D1A9D">
            <w:rPr>
              <w:b/>
              <w:lang w:val="en-US"/>
            </w:rPr>
            <w:t>Designation</w:t>
          </w:r>
        </w:p>
      </w:tc>
      <w:tc>
        <w:tcPr>
          <w:tcW w:w="2963" w:type="dxa"/>
          <w:vAlign w:val="bottom"/>
        </w:tcPr>
        <w:p w14:paraId="0FCCC5EF" w14:textId="375C4B7A" w:rsidR="009D1A9D" w:rsidRPr="009D1A9D" w:rsidRDefault="009D1A9D" w:rsidP="009D1A9D">
          <w:pPr>
            <w:pStyle w:val="Footer"/>
            <w:rPr>
              <w:lang w:val="en-US"/>
            </w:rPr>
          </w:pPr>
          <w:r>
            <w:rPr>
              <w:lang w:val="en-US"/>
            </w:rPr>
            <w:t>QC Chemist</w:t>
          </w:r>
        </w:p>
      </w:tc>
      <w:tc>
        <w:tcPr>
          <w:tcW w:w="2968" w:type="dxa"/>
          <w:vAlign w:val="bottom"/>
        </w:tcPr>
        <w:p w14:paraId="3DD22184" w14:textId="77777777" w:rsidR="009D1A9D" w:rsidRPr="009D1A9D" w:rsidRDefault="009D1A9D" w:rsidP="009D1A9D">
          <w:pPr>
            <w:pStyle w:val="Footer"/>
            <w:rPr>
              <w:lang w:val="en-US"/>
            </w:rPr>
          </w:pPr>
          <w:r w:rsidRPr="009D1A9D">
            <w:rPr>
              <w:lang w:val="en-US"/>
            </w:rPr>
            <w:t xml:space="preserve">QC Officer </w:t>
          </w:r>
        </w:p>
      </w:tc>
      <w:tc>
        <w:tcPr>
          <w:tcW w:w="2607" w:type="dxa"/>
          <w:vAlign w:val="bottom"/>
        </w:tcPr>
        <w:p w14:paraId="415C8791" w14:textId="1E281C6E" w:rsidR="009D1A9D" w:rsidRPr="009D1A9D" w:rsidRDefault="009D1A9D" w:rsidP="009D1A9D">
          <w:pPr>
            <w:pStyle w:val="Footer"/>
            <w:rPr>
              <w:lang w:val="en-US"/>
            </w:rPr>
          </w:pPr>
          <w:r w:rsidRPr="009D1A9D">
            <w:rPr>
              <w:lang w:val="en-US"/>
            </w:rPr>
            <w:t xml:space="preserve">QC Manager </w:t>
          </w:r>
        </w:p>
      </w:tc>
    </w:tr>
  </w:tbl>
  <w:p w14:paraId="6FF9DF27" w14:textId="77777777" w:rsidR="009D1A9D" w:rsidRPr="009D1A9D" w:rsidRDefault="009D1A9D" w:rsidP="009D1A9D">
    <w:pPr>
      <w:pStyle w:val="Footer"/>
    </w:pPr>
  </w:p>
  <w:p w14:paraId="2348F543" w14:textId="7396907C" w:rsidR="009D1A9D" w:rsidRDefault="009D1A9D">
    <w:pPr>
      <w:pStyle w:val="Footer"/>
    </w:pPr>
  </w:p>
  <w:p w14:paraId="40B91BF6" w14:textId="46C6A84D" w:rsidR="00D66DB7" w:rsidRDefault="00D66DB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97F1C7" w14:textId="77777777" w:rsidR="00D22B5D" w:rsidRDefault="00D22B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44B5BC" w14:textId="77777777" w:rsidR="00786A3E" w:rsidRDefault="00786A3E" w:rsidP="004C07EA">
      <w:pPr>
        <w:spacing w:after="0" w:line="240" w:lineRule="auto"/>
      </w:pPr>
      <w:r>
        <w:separator/>
      </w:r>
    </w:p>
  </w:footnote>
  <w:footnote w:type="continuationSeparator" w:id="0">
    <w:p w14:paraId="16200A85" w14:textId="77777777" w:rsidR="00786A3E" w:rsidRDefault="00786A3E" w:rsidP="004C07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07487" w14:textId="77777777" w:rsidR="00D22B5D" w:rsidRDefault="00D22B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353" w:type="dxa"/>
      <w:tblInd w:w="-60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75"/>
      <w:gridCol w:w="213"/>
      <w:gridCol w:w="1336"/>
      <w:gridCol w:w="646"/>
      <w:gridCol w:w="3118"/>
      <w:gridCol w:w="3265"/>
    </w:tblGrid>
    <w:tr w:rsidR="0092092A" w:rsidRPr="009450F9" w14:paraId="2B890D2C" w14:textId="77777777" w:rsidTr="00845B60">
      <w:trPr>
        <w:trHeight w:val="664"/>
      </w:trPr>
      <w:tc>
        <w:tcPr>
          <w:tcW w:w="1988" w:type="dxa"/>
          <w:gridSpan w:val="2"/>
          <w:vAlign w:val="center"/>
        </w:tcPr>
        <w:p w14:paraId="1FCF1529" w14:textId="77777777" w:rsidR="0092092A" w:rsidRPr="009450F9" w:rsidRDefault="0092092A" w:rsidP="004C07EA">
          <w:pPr>
            <w:pStyle w:val="Header"/>
            <w:rPr>
              <w:sz w:val="18"/>
              <w:lang w:val="x-none"/>
            </w:rPr>
          </w:pPr>
          <w:r w:rsidRPr="009450F9">
            <w:rPr>
              <w:noProof/>
              <w:sz w:val="18"/>
              <w:lang w:eastAsia="en-IN"/>
            </w:rPr>
            <w:drawing>
              <wp:inline distT="0" distB="0" distL="0" distR="0" wp14:anchorId="376A9AF7" wp14:editId="0FC7B4E6">
                <wp:extent cx="1098550" cy="749300"/>
                <wp:effectExtent l="0" t="0" r="635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8550" cy="749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5" w:type="dxa"/>
          <w:gridSpan w:val="4"/>
          <w:vAlign w:val="center"/>
        </w:tcPr>
        <w:p w14:paraId="666B904C" w14:textId="77777777" w:rsidR="0092092A" w:rsidRPr="009450F9" w:rsidRDefault="0092092A" w:rsidP="004C07EA">
          <w:pPr>
            <w:pStyle w:val="Header"/>
            <w:rPr>
              <w:sz w:val="18"/>
              <w:lang w:val="en-US"/>
            </w:rPr>
          </w:pPr>
          <w:r w:rsidRPr="009450F9">
            <w:rPr>
              <w:b/>
              <w:sz w:val="18"/>
              <w:lang w:val="en-US"/>
            </w:rPr>
            <w:t>SIDHE PETROCHEMICALS PRIVATE LIMITED</w:t>
          </w:r>
          <w:r w:rsidRPr="009450F9">
            <w:rPr>
              <w:sz w:val="18"/>
              <w:lang w:val="en-US"/>
            </w:rPr>
            <w:t>,</w:t>
          </w:r>
        </w:p>
        <w:p w14:paraId="478B9B9C" w14:textId="77777777" w:rsidR="0092092A" w:rsidRPr="009450F9" w:rsidRDefault="0092092A" w:rsidP="004C07EA">
          <w:pPr>
            <w:pStyle w:val="Header"/>
            <w:rPr>
              <w:sz w:val="18"/>
              <w:lang w:val="en-US"/>
            </w:rPr>
          </w:pPr>
          <w:r w:rsidRPr="00762BD5">
            <w:rPr>
              <w:b/>
              <w:sz w:val="18"/>
              <w:lang w:val="en-US"/>
            </w:rPr>
            <w:t>Works</w:t>
          </w:r>
          <w:r>
            <w:rPr>
              <w:sz w:val="18"/>
              <w:lang w:val="en-US"/>
            </w:rPr>
            <w:t xml:space="preserve">: </w:t>
          </w:r>
          <w:r w:rsidRPr="009450F9">
            <w:rPr>
              <w:sz w:val="18"/>
              <w:lang w:val="en-US"/>
            </w:rPr>
            <w:t>R.S. No. 445, 446/1, 446/2, 448, 449, Village: Bhimasar,</w:t>
          </w:r>
        </w:p>
        <w:p w14:paraId="51DD8E01" w14:textId="77777777" w:rsidR="0092092A" w:rsidRPr="009450F9" w:rsidRDefault="0092092A" w:rsidP="004C07EA">
          <w:pPr>
            <w:pStyle w:val="Header"/>
            <w:rPr>
              <w:sz w:val="18"/>
              <w:lang w:val="en-US"/>
            </w:rPr>
          </w:pPr>
          <w:r w:rsidRPr="009450F9">
            <w:rPr>
              <w:sz w:val="18"/>
              <w:lang w:val="en-US"/>
            </w:rPr>
            <w:t>Ta. Anjar, Dist. Kutch, Gujarat - 370240, India</w:t>
          </w:r>
        </w:p>
        <w:p w14:paraId="3B9DB081" w14:textId="77777777" w:rsidR="0092092A" w:rsidRPr="009450F9" w:rsidRDefault="0092092A" w:rsidP="004C07EA">
          <w:pPr>
            <w:pStyle w:val="Header"/>
            <w:rPr>
              <w:sz w:val="18"/>
              <w:lang w:val="en-US"/>
            </w:rPr>
          </w:pPr>
          <w:r w:rsidRPr="00762BD5">
            <w:rPr>
              <w:b/>
              <w:sz w:val="18"/>
              <w:lang w:val="en-US"/>
            </w:rPr>
            <w:t>Corporate Office</w:t>
          </w:r>
          <w:r>
            <w:rPr>
              <w:sz w:val="18"/>
              <w:lang w:val="en-US"/>
            </w:rPr>
            <w:t>: Park Centra, 7</w:t>
          </w:r>
          <w:r w:rsidRPr="009450F9">
            <w:rPr>
              <w:sz w:val="18"/>
              <w:vertAlign w:val="superscript"/>
              <w:lang w:val="en-US"/>
            </w:rPr>
            <w:t>th</w:t>
          </w:r>
          <w:r>
            <w:rPr>
              <w:sz w:val="18"/>
              <w:lang w:val="en-US"/>
            </w:rPr>
            <w:t xml:space="preserve"> Floor, Sector- 30, Gurugram</w:t>
          </w:r>
          <w:r>
            <w:rPr>
              <w:sz w:val="18"/>
              <w:lang w:val="en-US"/>
            </w:rPr>
            <w:br/>
            <w:t xml:space="preserve">Haryana- 122 001 </w:t>
          </w:r>
        </w:p>
      </w:tc>
    </w:tr>
    <w:tr w:rsidR="00890415" w14:paraId="3ED0B791" w14:textId="77777777" w:rsidTr="00845B60">
      <w:tblPrEx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Ex>
      <w:trPr>
        <w:trHeight w:val="30"/>
      </w:trPr>
      <w:tc>
        <w:tcPr>
          <w:tcW w:w="3324" w:type="dxa"/>
          <w:gridSpan w:val="3"/>
          <w:tcBorders>
            <w:top w:val="single" w:sz="12" w:space="0" w:color="auto"/>
            <w:left w:val="single" w:sz="12" w:space="0" w:color="auto"/>
            <w:bottom w:val="nil"/>
            <w:right w:val="nil"/>
          </w:tcBorders>
          <w:shd w:val="solid" w:color="FFFFFF" w:fill="auto"/>
        </w:tcPr>
        <w:p w14:paraId="38024A24" w14:textId="5D2EB913" w:rsidR="00890415" w:rsidRPr="00890415" w:rsidRDefault="00890415" w:rsidP="00890415">
          <w:pPr>
            <w:autoSpaceDE w:val="0"/>
            <w:autoSpaceDN w:val="0"/>
            <w:adjustRightInd w:val="0"/>
            <w:spacing w:after="0" w:line="240" w:lineRule="auto"/>
            <w:jc w:val="right"/>
            <w:rPr>
              <w:rFonts w:cstheme="minorHAnsi"/>
              <w:b/>
              <w:bCs/>
              <w:color w:val="000000"/>
              <w:sz w:val="18"/>
              <w:szCs w:val="24"/>
            </w:rPr>
          </w:pPr>
        </w:p>
      </w:tc>
      <w:tc>
        <w:tcPr>
          <w:tcW w:w="646" w:type="dxa"/>
          <w:tcBorders>
            <w:top w:val="single" w:sz="12" w:space="0" w:color="auto"/>
            <w:left w:val="nil"/>
            <w:bottom w:val="nil"/>
            <w:right w:val="nil"/>
          </w:tcBorders>
          <w:shd w:val="solid" w:color="FFFFFF" w:fill="auto"/>
        </w:tcPr>
        <w:p w14:paraId="06A94697" w14:textId="5F35A9D1" w:rsidR="00890415" w:rsidRPr="00890415" w:rsidRDefault="00890415" w:rsidP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cstheme="minorHAnsi"/>
              <w:b/>
              <w:bCs/>
              <w:color w:val="000000"/>
              <w:sz w:val="18"/>
              <w:szCs w:val="24"/>
            </w:rPr>
          </w:pPr>
        </w:p>
      </w:tc>
      <w:tc>
        <w:tcPr>
          <w:tcW w:w="3118" w:type="dxa"/>
          <w:tcBorders>
            <w:top w:val="single" w:sz="12" w:space="0" w:color="auto"/>
            <w:left w:val="nil"/>
            <w:bottom w:val="nil"/>
            <w:right w:val="nil"/>
          </w:tcBorders>
          <w:shd w:val="solid" w:color="FFFFFF" w:fill="auto"/>
        </w:tcPr>
        <w:p w14:paraId="2705C04F" w14:textId="77777777" w:rsidR="00890415" w:rsidRPr="00890415" w:rsidRDefault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cstheme="minorHAnsi"/>
              <w:b/>
              <w:bCs/>
              <w:color w:val="000000"/>
              <w:sz w:val="18"/>
              <w:szCs w:val="24"/>
            </w:rPr>
          </w:pPr>
        </w:p>
      </w:tc>
      <w:tc>
        <w:tcPr>
          <w:tcW w:w="3265" w:type="dxa"/>
          <w:tcBorders>
            <w:top w:val="single" w:sz="12" w:space="0" w:color="auto"/>
            <w:left w:val="nil"/>
            <w:bottom w:val="nil"/>
            <w:right w:val="single" w:sz="12" w:space="0" w:color="auto"/>
          </w:tcBorders>
          <w:shd w:val="solid" w:color="FFFFFF" w:fill="auto"/>
        </w:tcPr>
        <w:p w14:paraId="22AF6C0B" w14:textId="77777777" w:rsidR="00890415" w:rsidRPr="00890415" w:rsidRDefault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cstheme="minorHAnsi"/>
              <w:b/>
              <w:bCs/>
              <w:color w:val="000000"/>
              <w:sz w:val="18"/>
              <w:szCs w:val="24"/>
            </w:rPr>
          </w:pPr>
        </w:p>
      </w:tc>
    </w:tr>
    <w:tr w:rsidR="00890415" w14:paraId="1D627758" w14:textId="77777777" w:rsidTr="00845B60">
      <w:tblPrEx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Ex>
      <w:trPr>
        <w:trHeight w:val="50"/>
      </w:trPr>
      <w:tc>
        <w:tcPr>
          <w:tcW w:w="1775" w:type="dxa"/>
          <w:tcBorders>
            <w:top w:val="nil"/>
            <w:left w:val="single" w:sz="12" w:space="0" w:color="auto"/>
            <w:bottom w:val="single" w:sz="12" w:space="0" w:color="auto"/>
            <w:right w:val="nil"/>
          </w:tcBorders>
          <w:shd w:val="solid" w:color="FFFFFF" w:fill="auto"/>
        </w:tcPr>
        <w:p w14:paraId="681EF9C9" w14:textId="77777777" w:rsidR="00890415" w:rsidRPr="00890415" w:rsidRDefault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cstheme="minorHAnsi"/>
              <w:b/>
              <w:bCs/>
              <w:color w:val="000000"/>
              <w:sz w:val="18"/>
              <w:szCs w:val="24"/>
            </w:rPr>
          </w:pPr>
        </w:p>
      </w:tc>
      <w:tc>
        <w:tcPr>
          <w:tcW w:w="1549" w:type="dxa"/>
          <w:gridSpan w:val="2"/>
          <w:tcBorders>
            <w:top w:val="nil"/>
            <w:left w:val="nil"/>
            <w:bottom w:val="single" w:sz="12" w:space="0" w:color="auto"/>
            <w:right w:val="nil"/>
          </w:tcBorders>
          <w:shd w:val="solid" w:color="FFFFFF" w:fill="auto"/>
        </w:tcPr>
        <w:p w14:paraId="07617222" w14:textId="77777777" w:rsidR="00890415" w:rsidRPr="00890415" w:rsidRDefault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cstheme="minorHAnsi"/>
              <w:b/>
              <w:bCs/>
              <w:color w:val="000000"/>
              <w:sz w:val="18"/>
              <w:szCs w:val="24"/>
            </w:rPr>
          </w:pPr>
        </w:p>
      </w:tc>
      <w:tc>
        <w:tcPr>
          <w:tcW w:w="646" w:type="dxa"/>
          <w:tcBorders>
            <w:top w:val="nil"/>
            <w:left w:val="nil"/>
            <w:bottom w:val="single" w:sz="12" w:space="0" w:color="auto"/>
            <w:right w:val="nil"/>
          </w:tcBorders>
          <w:shd w:val="solid" w:color="FFFFFF" w:fill="auto"/>
        </w:tcPr>
        <w:p w14:paraId="40643B39" w14:textId="77777777" w:rsidR="00890415" w:rsidRPr="00890415" w:rsidRDefault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cstheme="minorHAnsi"/>
              <w:b/>
              <w:bCs/>
              <w:color w:val="000000"/>
              <w:sz w:val="18"/>
              <w:szCs w:val="24"/>
            </w:rPr>
          </w:pPr>
        </w:p>
      </w:tc>
      <w:tc>
        <w:tcPr>
          <w:tcW w:w="3118" w:type="dxa"/>
          <w:tcBorders>
            <w:top w:val="nil"/>
            <w:left w:val="nil"/>
            <w:bottom w:val="single" w:sz="12" w:space="0" w:color="auto"/>
            <w:right w:val="nil"/>
          </w:tcBorders>
          <w:shd w:val="solid" w:color="FFFFFF" w:fill="auto"/>
        </w:tcPr>
        <w:p w14:paraId="6040CE60" w14:textId="689B323D" w:rsidR="00890415" w:rsidRPr="00890415" w:rsidRDefault="00845B60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cstheme="minorHAnsi"/>
              <w:b/>
              <w:bCs/>
              <w:color w:val="000000"/>
              <w:sz w:val="18"/>
              <w:szCs w:val="24"/>
            </w:rPr>
          </w:pPr>
          <w:r w:rsidRPr="00845B60">
            <w:rPr>
              <w:rFonts w:cstheme="minorHAnsi"/>
              <w:b/>
              <w:bCs/>
              <w:color w:val="000000"/>
              <w:sz w:val="20"/>
              <w:szCs w:val="24"/>
            </w:rPr>
            <w:t>CERTIFICATE OF ANALYSIS</w:t>
          </w:r>
        </w:p>
      </w:tc>
      <w:tc>
        <w:tcPr>
          <w:tcW w:w="3265" w:type="dxa"/>
          <w:tcBorders>
            <w:top w:val="nil"/>
            <w:left w:val="nil"/>
            <w:bottom w:val="single" w:sz="12" w:space="0" w:color="auto"/>
            <w:right w:val="single" w:sz="12" w:space="0" w:color="auto"/>
          </w:tcBorders>
          <w:shd w:val="solid" w:color="FFFFFF" w:fill="auto"/>
        </w:tcPr>
        <w:p w14:paraId="313A1C75" w14:textId="77777777" w:rsidR="00890415" w:rsidRPr="00890415" w:rsidRDefault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cstheme="minorHAnsi"/>
              <w:b/>
              <w:bCs/>
              <w:color w:val="000000"/>
              <w:sz w:val="18"/>
              <w:szCs w:val="24"/>
            </w:rPr>
          </w:pPr>
        </w:p>
      </w:tc>
    </w:tr>
    <w:tr w:rsidR="00890415" w14:paraId="17EFFF6C" w14:textId="77777777" w:rsidTr="00845B60">
      <w:tblPrEx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Ex>
      <w:trPr>
        <w:trHeight w:val="202"/>
      </w:trPr>
      <w:tc>
        <w:tcPr>
          <w:tcW w:w="3970" w:type="dxa"/>
          <w:gridSpan w:val="4"/>
          <w:tcBorders>
            <w:top w:val="single" w:sz="12" w:space="0" w:color="auto"/>
            <w:left w:val="single" w:sz="12" w:space="0" w:color="auto"/>
            <w:bottom w:val="nil"/>
            <w:right w:val="nil"/>
          </w:tcBorders>
          <w:shd w:val="solid" w:color="FFFF00" w:fill="auto"/>
        </w:tcPr>
        <w:p w14:paraId="65891F57" w14:textId="27D398F6" w:rsidR="00890415" w:rsidRPr="00890415" w:rsidRDefault="00845B60">
          <w:pPr>
            <w:autoSpaceDE w:val="0"/>
            <w:autoSpaceDN w:val="0"/>
            <w:adjustRightInd w:val="0"/>
            <w:spacing w:after="0" w:line="240" w:lineRule="auto"/>
            <w:rPr>
              <w:rFonts w:cstheme="minorHAnsi"/>
              <w:b/>
              <w:bCs/>
              <w:color w:val="000000"/>
              <w:sz w:val="18"/>
              <w:szCs w:val="28"/>
            </w:rPr>
          </w:pPr>
          <w:r w:rsidRPr="00845B60">
            <w:rPr>
              <w:rFonts w:cstheme="minorHAnsi"/>
              <w:b/>
              <w:bCs/>
              <w:color w:val="000000"/>
              <w:szCs w:val="28"/>
            </w:rPr>
            <w:t>Product: Glycerine (</w:t>
          </w:r>
          <w:r w:rsidR="00762238">
            <w:rPr>
              <w:rFonts w:cstheme="minorHAnsi"/>
              <w:b/>
              <w:bCs/>
              <w:color w:val="000000"/>
              <w:szCs w:val="28"/>
            </w:rPr>
            <w:t>B</w:t>
          </w:r>
          <w:r w:rsidRPr="00845B60">
            <w:rPr>
              <w:rFonts w:cstheme="minorHAnsi"/>
              <w:b/>
              <w:bCs/>
              <w:color w:val="000000"/>
              <w:szCs w:val="28"/>
            </w:rPr>
            <w:t>P</w:t>
          </w:r>
          <w:r w:rsidR="00890415" w:rsidRPr="00845B60">
            <w:rPr>
              <w:rFonts w:cstheme="minorHAnsi"/>
              <w:b/>
              <w:bCs/>
              <w:color w:val="000000"/>
              <w:szCs w:val="28"/>
            </w:rPr>
            <w:t>)</w:t>
          </w:r>
        </w:p>
      </w:tc>
      <w:tc>
        <w:tcPr>
          <w:tcW w:w="3118" w:type="dxa"/>
          <w:tcBorders>
            <w:top w:val="single" w:sz="12" w:space="0" w:color="auto"/>
            <w:left w:val="nil"/>
            <w:bottom w:val="nil"/>
            <w:right w:val="nil"/>
          </w:tcBorders>
          <w:shd w:val="solid" w:color="FFFF00" w:fill="auto"/>
        </w:tcPr>
        <w:p w14:paraId="092DA643" w14:textId="77777777" w:rsidR="00890415" w:rsidRPr="00890415" w:rsidRDefault="00890415">
          <w:pPr>
            <w:autoSpaceDE w:val="0"/>
            <w:autoSpaceDN w:val="0"/>
            <w:adjustRightInd w:val="0"/>
            <w:spacing w:after="0" w:line="240" w:lineRule="auto"/>
            <w:rPr>
              <w:rFonts w:cstheme="minorHAnsi"/>
              <w:b/>
              <w:bCs/>
              <w:color w:val="000000"/>
              <w:sz w:val="18"/>
              <w:szCs w:val="28"/>
            </w:rPr>
          </w:pPr>
        </w:p>
      </w:tc>
      <w:tc>
        <w:tcPr>
          <w:tcW w:w="3265" w:type="dxa"/>
          <w:tcBorders>
            <w:top w:val="single" w:sz="12" w:space="0" w:color="auto"/>
            <w:left w:val="nil"/>
            <w:bottom w:val="nil"/>
            <w:right w:val="single" w:sz="12" w:space="0" w:color="auto"/>
          </w:tcBorders>
          <w:shd w:val="solid" w:color="FFFF00" w:fill="auto"/>
        </w:tcPr>
        <w:p w14:paraId="37502032" w14:textId="77777777" w:rsidR="00890415" w:rsidRPr="00890415" w:rsidRDefault="00890415">
          <w:pPr>
            <w:autoSpaceDE w:val="0"/>
            <w:autoSpaceDN w:val="0"/>
            <w:adjustRightInd w:val="0"/>
            <w:spacing w:after="0" w:line="240" w:lineRule="auto"/>
            <w:rPr>
              <w:rFonts w:cstheme="minorHAnsi"/>
              <w:b/>
              <w:bCs/>
              <w:color w:val="000000"/>
              <w:sz w:val="18"/>
              <w:szCs w:val="28"/>
            </w:rPr>
          </w:pPr>
        </w:p>
      </w:tc>
    </w:tr>
    <w:tr w:rsidR="00890415" w14:paraId="06B390D2" w14:textId="77777777" w:rsidTr="00845B60">
      <w:tblPrEx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Ex>
      <w:trPr>
        <w:trHeight w:val="41"/>
      </w:trPr>
      <w:tc>
        <w:tcPr>
          <w:tcW w:w="1775" w:type="dxa"/>
          <w:tcBorders>
            <w:top w:val="single" w:sz="6" w:space="0" w:color="auto"/>
            <w:left w:val="single" w:sz="12" w:space="0" w:color="auto"/>
            <w:bottom w:val="single" w:sz="12" w:space="0" w:color="auto"/>
            <w:right w:val="nil"/>
          </w:tcBorders>
        </w:tcPr>
        <w:p w14:paraId="61FFCD95" w14:textId="77777777" w:rsidR="00890415" w:rsidRDefault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color w:val="000000"/>
              <w:sz w:val="24"/>
              <w:szCs w:val="24"/>
            </w:rPr>
          </w:pPr>
          <w:bookmarkStart w:id="0" w:name="_GoBack"/>
          <w:bookmarkEnd w:id="0"/>
        </w:p>
      </w:tc>
      <w:tc>
        <w:tcPr>
          <w:tcW w:w="1549" w:type="dxa"/>
          <w:gridSpan w:val="2"/>
          <w:tcBorders>
            <w:top w:val="single" w:sz="6" w:space="0" w:color="auto"/>
            <w:left w:val="nil"/>
            <w:bottom w:val="single" w:sz="12" w:space="0" w:color="auto"/>
            <w:right w:val="nil"/>
          </w:tcBorders>
        </w:tcPr>
        <w:p w14:paraId="2D7EB31C" w14:textId="77777777" w:rsidR="00890415" w:rsidRDefault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color w:val="000000"/>
              <w:sz w:val="24"/>
              <w:szCs w:val="24"/>
            </w:rPr>
          </w:pPr>
        </w:p>
      </w:tc>
      <w:tc>
        <w:tcPr>
          <w:tcW w:w="646" w:type="dxa"/>
          <w:tcBorders>
            <w:top w:val="single" w:sz="6" w:space="0" w:color="auto"/>
            <w:left w:val="nil"/>
            <w:bottom w:val="single" w:sz="12" w:space="0" w:color="auto"/>
            <w:right w:val="nil"/>
          </w:tcBorders>
        </w:tcPr>
        <w:p w14:paraId="70A9F4D0" w14:textId="77777777" w:rsidR="00890415" w:rsidRDefault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color w:val="000000"/>
              <w:sz w:val="24"/>
              <w:szCs w:val="24"/>
            </w:rPr>
          </w:pPr>
        </w:p>
      </w:tc>
      <w:tc>
        <w:tcPr>
          <w:tcW w:w="3118" w:type="dxa"/>
          <w:tcBorders>
            <w:top w:val="single" w:sz="6" w:space="0" w:color="auto"/>
            <w:left w:val="nil"/>
            <w:bottom w:val="single" w:sz="12" w:space="0" w:color="auto"/>
            <w:right w:val="nil"/>
          </w:tcBorders>
        </w:tcPr>
        <w:p w14:paraId="4321BFE1" w14:textId="77777777" w:rsidR="00890415" w:rsidRDefault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color w:val="000000"/>
              <w:sz w:val="24"/>
              <w:szCs w:val="24"/>
            </w:rPr>
          </w:pPr>
        </w:p>
      </w:tc>
      <w:tc>
        <w:tcPr>
          <w:tcW w:w="3265" w:type="dxa"/>
          <w:tcBorders>
            <w:top w:val="single" w:sz="6" w:space="0" w:color="auto"/>
            <w:left w:val="nil"/>
            <w:bottom w:val="single" w:sz="12" w:space="0" w:color="auto"/>
            <w:right w:val="single" w:sz="12" w:space="0" w:color="auto"/>
          </w:tcBorders>
        </w:tcPr>
        <w:p w14:paraId="00CAFF5F" w14:textId="77777777" w:rsidR="00890415" w:rsidRDefault="00890415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hAnsi="Arial" w:cs="Arial"/>
              <w:b/>
              <w:bCs/>
              <w:color w:val="000000"/>
              <w:sz w:val="24"/>
              <w:szCs w:val="24"/>
            </w:rPr>
          </w:pPr>
        </w:p>
      </w:tc>
    </w:tr>
  </w:tbl>
  <w:p w14:paraId="0D793A99" w14:textId="77777777" w:rsidR="0092092A" w:rsidRPr="00EF1B8F" w:rsidRDefault="0092092A">
    <w:pPr>
      <w:pStyle w:val="Header"/>
      <w:rPr>
        <w:sz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D3EF37" w14:textId="77777777" w:rsidR="00D22B5D" w:rsidRDefault="00D22B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87240"/>
    <w:multiLevelType w:val="hybridMultilevel"/>
    <w:tmpl w:val="B8840D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C7CE7"/>
    <w:multiLevelType w:val="hybridMultilevel"/>
    <w:tmpl w:val="10B6848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D84F09"/>
    <w:multiLevelType w:val="hybridMultilevel"/>
    <w:tmpl w:val="B6DA80D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9A0160"/>
    <w:multiLevelType w:val="multilevel"/>
    <w:tmpl w:val="D8304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5A60FC"/>
    <w:multiLevelType w:val="hybridMultilevel"/>
    <w:tmpl w:val="91DC167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8E55CF"/>
    <w:multiLevelType w:val="hybridMultilevel"/>
    <w:tmpl w:val="E28E262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1F09"/>
    <w:rsid w:val="0001659A"/>
    <w:rsid w:val="000216CE"/>
    <w:rsid w:val="00065E25"/>
    <w:rsid w:val="000678DB"/>
    <w:rsid w:val="00070D5A"/>
    <w:rsid w:val="00105D34"/>
    <w:rsid w:val="001D677B"/>
    <w:rsid w:val="002374EA"/>
    <w:rsid w:val="002417BE"/>
    <w:rsid w:val="00253719"/>
    <w:rsid w:val="00297654"/>
    <w:rsid w:val="002B7A46"/>
    <w:rsid w:val="002C0AC2"/>
    <w:rsid w:val="00356F44"/>
    <w:rsid w:val="00377B5E"/>
    <w:rsid w:val="003B1503"/>
    <w:rsid w:val="00401B90"/>
    <w:rsid w:val="004300AF"/>
    <w:rsid w:val="004A220D"/>
    <w:rsid w:val="004A7FEF"/>
    <w:rsid w:val="004C07EA"/>
    <w:rsid w:val="004F570E"/>
    <w:rsid w:val="00520311"/>
    <w:rsid w:val="005B050C"/>
    <w:rsid w:val="005B4028"/>
    <w:rsid w:val="005E4F43"/>
    <w:rsid w:val="00616D3A"/>
    <w:rsid w:val="00635A3F"/>
    <w:rsid w:val="006B6F3A"/>
    <w:rsid w:val="006C549B"/>
    <w:rsid w:val="006F0943"/>
    <w:rsid w:val="00706507"/>
    <w:rsid w:val="00716C83"/>
    <w:rsid w:val="00750070"/>
    <w:rsid w:val="00762238"/>
    <w:rsid w:val="00762BD5"/>
    <w:rsid w:val="00784A78"/>
    <w:rsid w:val="00786A3E"/>
    <w:rsid w:val="007B4E66"/>
    <w:rsid w:val="007C56F2"/>
    <w:rsid w:val="007F4AFD"/>
    <w:rsid w:val="007F69F9"/>
    <w:rsid w:val="0080504A"/>
    <w:rsid w:val="00805DAF"/>
    <w:rsid w:val="008358CB"/>
    <w:rsid w:val="00845B60"/>
    <w:rsid w:val="00856AEC"/>
    <w:rsid w:val="00890415"/>
    <w:rsid w:val="008B2100"/>
    <w:rsid w:val="008B3BFD"/>
    <w:rsid w:val="008D6E4E"/>
    <w:rsid w:val="008F418E"/>
    <w:rsid w:val="0092092A"/>
    <w:rsid w:val="00920DE1"/>
    <w:rsid w:val="00927D1D"/>
    <w:rsid w:val="009450F9"/>
    <w:rsid w:val="009D1A9D"/>
    <w:rsid w:val="009E6510"/>
    <w:rsid w:val="00A16033"/>
    <w:rsid w:val="00A21885"/>
    <w:rsid w:val="00A80C52"/>
    <w:rsid w:val="00A9769D"/>
    <w:rsid w:val="00AA03CE"/>
    <w:rsid w:val="00AA05D3"/>
    <w:rsid w:val="00AC24FE"/>
    <w:rsid w:val="00AF1078"/>
    <w:rsid w:val="00AF7AE2"/>
    <w:rsid w:val="00B332BA"/>
    <w:rsid w:val="00B764AA"/>
    <w:rsid w:val="00B913FB"/>
    <w:rsid w:val="00BA2191"/>
    <w:rsid w:val="00C07243"/>
    <w:rsid w:val="00C267D0"/>
    <w:rsid w:val="00C36D51"/>
    <w:rsid w:val="00C52762"/>
    <w:rsid w:val="00C619D3"/>
    <w:rsid w:val="00CC091D"/>
    <w:rsid w:val="00CF41B4"/>
    <w:rsid w:val="00D041E2"/>
    <w:rsid w:val="00D22B5D"/>
    <w:rsid w:val="00D51F09"/>
    <w:rsid w:val="00D54929"/>
    <w:rsid w:val="00D6106E"/>
    <w:rsid w:val="00D628BA"/>
    <w:rsid w:val="00D66DB7"/>
    <w:rsid w:val="00D802E2"/>
    <w:rsid w:val="00DC3ECB"/>
    <w:rsid w:val="00DF50EB"/>
    <w:rsid w:val="00E25148"/>
    <w:rsid w:val="00E555A2"/>
    <w:rsid w:val="00E7636A"/>
    <w:rsid w:val="00E93B30"/>
    <w:rsid w:val="00ED5AAE"/>
    <w:rsid w:val="00EF1B8F"/>
    <w:rsid w:val="00EF7CCA"/>
    <w:rsid w:val="00F13CA1"/>
    <w:rsid w:val="00F22491"/>
    <w:rsid w:val="00F52B94"/>
    <w:rsid w:val="00FD5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F80F6F"/>
  <w15:docId w15:val="{AF05C275-18C7-4E63-9925-915E140B0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10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1F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C07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7EA"/>
  </w:style>
  <w:style w:type="paragraph" w:styleId="Footer">
    <w:name w:val="footer"/>
    <w:basedOn w:val="Normal"/>
    <w:link w:val="FooterChar"/>
    <w:uiPriority w:val="99"/>
    <w:unhideWhenUsed/>
    <w:rsid w:val="004C07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7EA"/>
  </w:style>
  <w:style w:type="paragraph" w:styleId="BalloonText">
    <w:name w:val="Balloon Text"/>
    <w:basedOn w:val="Normal"/>
    <w:link w:val="BalloonTextChar"/>
    <w:uiPriority w:val="99"/>
    <w:semiHidden/>
    <w:unhideWhenUsed/>
    <w:rsid w:val="004C07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7E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6106E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6106E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8B210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417B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417B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417B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42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7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15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7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C2FBD6-64BF-4CCE-9C64-B5559000D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Parveen Bhatnagar</dc:creator>
  <cp:lastModifiedBy>Quality Control</cp:lastModifiedBy>
  <cp:revision>19</cp:revision>
  <cp:lastPrinted>2025-05-17T11:10:00Z</cp:lastPrinted>
  <dcterms:created xsi:type="dcterms:W3CDTF">2025-05-14T04:36:00Z</dcterms:created>
  <dcterms:modified xsi:type="dcterms:W3CDTF">2025-07-01T09:40:00Z</dcterms:modified>
</cp:coreProperties>
</file>